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>Федерального закона от 25 декабря 2008 года 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7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организаций, созданных в целях выполнения задач, поставленных перед Правительством РФ (можно сказать подведомственных 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перечень должностей в этих организациях, замещение которых налагает обязанность представлять сведения о доходах, расходах, имуществе и обязательствах имущественного характера (руководитель, заместитель руководителя, главный бухгалтер);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>по разработке и принятию организациями мер 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946611">
        <w:rPr>
          <w:b w:val="0"/>
        </w:rPr>
        <w:t xml:space="preserve"> 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>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перечень должностей, выполнение обязанностей по которым связано 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план по минимизации установленных коррупционных рисков 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общие антикоррупционные обязанности работников организации 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Все указанные выше локальные акты должным быть утверждены 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в интересах Российской Федерации, обратился в суд с исковым заявлением 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8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5002B5" w:rsidRPr="006B43FD">
        <w:rPr>
          <w:b w:val="0"/>
        </w:rPr>
        <w:t xml:space="preserve"> 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5002B5" w:rsidRPr="00E61FF8" w:rsidRDefault="005002B5" w:rsidP="005002B5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2B5" w:rsidRPr="00837119" w:rsidRDefault="005002B5" w:rsidP="00500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 знаками делового 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(подпроцессы);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подпроцесса,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>одекс этики и служебного поведения 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заключении организацией контракта на выполнение тех 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к их служебному поведению, при возникновении ситуаций испрашивания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3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4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5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6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9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репутационный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00" w:rsidRDefault="00166900" w:rsidP="00FD11A5">
      <w:pPr>
        <w:spacing w:after="0" w:line="240" w:lineRule="auto"/>
      </w:pPr>
      <w:r>
        <w:separator/>
      </w:r>
    </w:p>
  </w:endnote>
  <w:endnote w:type="continuationSeparator" w:id="0">
    <w:p w:rsidR="00166900" w:rsidRDefault="00166900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00" w:rsidRDefault="00166900" w:rsidP="00FD11A5">
      <w:pPr>
        <w:spacing w:after="0" w:line="240" w:lineRule="auto"/>
      </w:pPr>
      <w:r>
        <w:separator/>
      </w:r>
    </w:p>
  </w:footnote>
  <w:footnote w:type="continuationSeparator" w:id="0">
    <w:p w:rsidR="00166900" w:rsidRDefault="00166900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844C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256F"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63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B76"/>
    <w:rsid w:val="00086A93"/>
    <w:rsid w:val="000C638F"/>
    <w:rsid w:val="000C685E"/>
    <w:rsid w:val="000D1023"/>
    <w:rsid w:val="000E166B"/>
    <w:rsid w:val="000F5CC7"/>
    <w:rsid w:val="001034E0"/>
    <w:rsid w:val="0011305F"/>
    <w:rsid w:val="0012232C"/>
    <w:rsid w:val="00124663"/>
    <w:rsid w:val="00166900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F33D5"/>
    <w:rsid w:val="00337D15"/>
    <w:rsid w:val="0035366B"/>
    <w:rsid w:val="003767B7"/>
    <w:rsid w:val="0039485B"/>
    <w:rsid w:val="0042636B"/>
    <w:rsid w:val="004C7772"/>
    <w:rsid w:val="005002B5"/>
    <w:rsid w:val="0050722A"/>
    <w:rsid w:val="00526433"/>
    <w:rsid w:val="00533EA3"/>
    <w:rsid w:val="005579EE"/>
    <w:rsid w:val="005C7C3C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44C72"/>
    <w:rsid w:val="00894A9F"/>
    <w:rsid w:val="008D70BB"/>
    <w:rsid w:val="00946611"/>
    <w:rsid w:val="009944CB"/>
    <w:rsid w:val="009D1A5F"/>
    <w:rsid w:val="00A14DB8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0741"/>
    <w:rsid w:val="00CA5E8A"/>
    <w:rsid w:val="00CB0A06"/>
    <w:rsid w:val="00CC2F18"/>
    <w:rsid w:val="00CC6E4B"/>
    <w:rsid w:val="00D52D03"/>
    <w:rsid w:val="00DB047B"/>
    <w:rsid w:val="00DC007C"/>
    <w:rsid w:val="00E13923"/>
    <w:rsid w:val="00E400B8"/>
    <w:rsid w:val="00E62D36"/>
    <w:rsid w:val="00E7411A"/>
    <w:rsid w:val="00EC08A5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664AE3BBC529E2AFE2A663C17s0K" TargetMode="External"/><Relationship Id="rId13" Type="http://schemas.openxmlformats.org/officeDocument/2006/relationships/hyperlink" Target="consultantplus://offline/ref=B5382B125F572205EB785D58FD0BDDC4E8ACC5767050F3FA02FEF87D1551982AA45BDB9078B25D24n0cF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FD8EE140CB828A342C30398ED0FCACF36D10096DAD5C47FF12A07BD46CE48357B5ECEAB54Ex5dAK" TargetMode="External"/><Relationship Id="rId7" Type="http://schemas.openxmlformats.org/officeDocument/2006/relationships/hyperlink" Target="consultantplus://offline/ref=0E4421C224C7B7EED4712A32834D2C21EEE831BA2862B341D9F9978BA3o1y4K" TargetMode="External"/><Relationship Id="rId12" Type="http://schemas.openxmlformats.org/officeDocument/2006/relationships/hyperlink" Target="consultantplus://offline/ref=E0C754EA1F13E07949A878410C9405597A0563E5ED642690B20AB0407BDAc4K" TargetMode="External"/><Relationship Id="rId17" Type="http://schemas.openxmlformats.org/officeDocument/2006/relationships/hyperlink" Target="consultantplus://offline/ref=44FD8EE140CB828A342C30398ED0FCACF36D10096DAD5C47FF12A07BD46CE48357B5ECEABD465D14x0dBK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44FD8EE140CB828A342C30398ED0FCACF36D10096DAD5C47FF12A07BD46CE48357B5ECEABD465C1Ax0d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754EA1F13E07949A878410C9405597A0764E0E7622690B20AB0407BDAc4K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E73317E8CB530951541D55ECEF036035A33B998B894EE37CC55BD5C2P0d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C754EA1F13E07949A878410C9405597A0764E0E7622690B20AB0407BA424031F369776F96349C8DBc0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A0765E2E1652690B20AB0407BA424031F369776F96349C3DBcDK" TargetMode="External"/><Relationship Id="rId14" Type="http://schemas.openxmlformats.org/officeDocument/2006/relationships/hyperlink" Target="consultantplus://offline/ref=B5382B125F572205EB785D58FD0BDDC4EBA2C77B7300A4F853ABF6n7c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667E-A936-4E35-A2CD-5A3A9445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11133</Words>
  <Characters>63463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DNA7 X86</cp:lastModifiedBy>
  <cp:revision>2</cp:revision>
  <cp:lastPrinted>2015-12-25T10:14:00Z</cp:lastPrinted>
  <dcterms:created xsi:type="dcterms:W3CDTF">2016-06-08T08:43:00Z</dcterms:created>
  <dcterms:modified xsi:type="dcterms:W3CDTF">2016-06-08T08:43:00Z</dcterms:modified>
</cp:coreProperties>
</file>